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30-day basis, USD sensitivity is concentrated in commodities, with broad commodities, gold, and oil all showing moderately negative correlations, meaning they’ve tended to fall when the dollar has risen. The S&amp;P 500 and Bitcoin show relatively contained linkage to the dollar, with low 30-day correlations that suggest recent equity and crypto moves have been driven more by asset-specific factors than by broad USD swings. The 15-day readings mostly reinforce this pattern, while the weaker 90-day links point to a less stable relationship over longer horizons.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