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(SPX, NDX, RUT) have shown moderately strong negative sensitivity to rising 10Y yields, with small caps (RUT) still among the most rate‑sensitive equity segments. Financials (XLF) are also moving negatively with yields rather than benefiting from them, underscoring that higher rates have recently aligned more with macro/valuation pressure than sector‑specific tailwinds.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