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meaningful across all tracked assets, with the strongest linkage in the S&amp;P 500, where equities have tended to move lower when the dollar strengthens. Oil and broad commodities show moderate positive ties to the USD, suggesting that recent dollar moves have gone hand-in-hand with similar-direction shifts in energy and commodity prices rather than the more familiar opposite pattern. Gold remains negatively linked to the dollar, acting as a partial offset to USD moves, while Bitcoin’s relationship has flipped from negative at 30D to only weakly positive over the last 15 days, pointing to unstable and shifting USD sensitivity in crypto.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