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financials have shown only mild day‑to‑day linkage with moves in the 10-year yield, suggesting relatively contained equity sensitivity to rate swings in this window. Utilities stand out with a meaningfully negative correlation across 15D, 30D, and 90D, indicating they have been consistently acting as a rate‑sensitive, bond‑like segment.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