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broad commodities, which both move meaningfully opposite to the dollar, especially GLD with a moderate negative linkage that has been consistently strong across 15D and 90D windows. SPX, USO, and Bitcoin show contained and relatively weak connections to the USD over 30 days, suggesting their recent day‑to‑day moves have been driven more by asset‑specific factors than by broad dollar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