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Utilities show a clearly concentrated and strongly negative linkage to 10-year yields, standing out as the equity sector most sensitive to rate moves, with that pressure visible and persistent across 15D and 90D windows. In contrast, the S&amp;P 500, Nasdaq 100, and Russell 2000 all show relatively muted 30D correlations, suggesting broad equities have been less tightly tethered to day‑to‑day rate changes recently. Financials have a modestly positive 30D correlation, indicating they’ve tended to trade a bit more in line with rising yields than the major equity indices.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