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U. S. Oil (USO) and broad commodities (COMT), which both rise modestly with a stronger dollar, and in the S&amp;P 500, which tends to move in the opposite direction. Gold’s linkage to the USD is moderately negative on this 30-day window and becomes more strongly inverse over 90 days, pointing to a steadier pattern than the shorter-term readings suggest.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