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major equity indexes have shown a clear negative relationship with 10-year yields, with the S&amp;P 500 the most rate‑sensitive of the broad benchmarks and the Nasdaq 100 and Russell 2000 not far behind. Sector-wise, Utilities stand out with the strongest equity-rate linkage, showing consistently high negative correlations across 15D, 30D, and 90D, while Financials remain negatively tied to yields but to a more moderate degree. The persistence of these negative signs over 90D suggests that equities, especially defensives like Utilities, have been systematically pressured when yields move higher rather than just reacting to short-lived rate moves.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