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had a meaningful impact across risk assets, with the S&amp;P 500 showing the strongest inverse relationship, implying U. S. equities have tended to soften when the dollar strengthens. Oil and broad commodities both display moderate positive sensitivity to the dollar, suggesting recent commodity gains have often coincided with USD strength rather than weakness.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