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Utilities show the clearest equity sensitivity to moves in the 10-year yield, with a strong and consistently negative relationship that is also evident over both 15-day and 90-day windows. The broad equity indices and Financials have only modest positive co-movement with yields on this 30-day view, and that linkage is weaker and more mixed when you look across the shorter and longer windows. This leaves rate sensitivity in equities relatively diffuse overall, while pressure from higher yields appears most concentrated in Utilities.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