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U. S. equities, with gold showing a steady, moderately negative correlation and the S&amp;P 500 also tending to move opposite the dollar, though more weakly and less consistently over 90 days. Oil and broad commodities show only mild positive linkage to the dollar, and Bitcoin’s relationship remains contained and statistically modest across all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