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utilities show the clearest equity-rate linkage, with returns tending to move meaningfully opposite to 10-year yields, and that negative sensitivity has been persistent across 15D and 90D windows. The major equity indices also trade inversely to yields, but with more moderate and somewhat less stable rate sensitivity than utilities. Financials currently show only a weak connection to moves in the 10-year, indicating that their recent performance has been less driven by day-to-day rate fluctuations.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