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the dollar shows its clearest linkage to the S&amp;P 500 and broad commodities, with equities moving mostly opposite the USD while oil and the commodity basket tend to move with it. This influence is concentrated rather than broad-based, as Bitcoin shows little systematic USD linkage and gold’s negative correlation, while meaningful over 90 days, has been weaker and somewhat mixed in the nearer term. Recent 15-day readings suggest these patterns have intensified at the margin for stocks and commodities, while longer 90-day windows point to a generally softer USD sensitivity across most assets except gold.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