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rate sensitivity is concentrated in Utilities, which show a consistently strong negative link to 10Y yields, in contrast to the major equity indices and Financials, which have only modestly positive correlations. The S&amp;P 500 and Russell 2000 remain relatively contained in their 30-day rate sensitivity, while the Nasdaq 100 and Financials track yields somewhat more closely. The recent 15-day window shows a sharper positive alignment of broad equities and Financials with rising yields, suggesting a short-term pickup in equity-rate co-movement versus the muted 90-day backdrop.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