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precious metals and broad commodities, with gold showing the clearest inverse linkage, and the broad commodity basket also tending to weaken when the dollar strengthens. The S&amp;P 500 has been largely insulated from USD moves, while oil’s relationship has been modest and has even flipped sign across the 15D and 30D windows. Bitcoin’s inverse linkage to the dollar is present but weaker than gold’s and has been fading when viewed over longer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