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Rates correlations: Over the last 30 trading days, all major equity benchmarks have traded with clearly negative sensitivity to moves in the 10-year yield, with the S&amp;P 500, Nasdaq 100, and Russell 2000 showing similarly strong inverse relationships. Within that, rate sensitivity is most concentrated in small caps, where the Russell 2000’s negative linkage has intensified sharply over the last 15 days. Financials also lean meaningfully negative to yields despite the sector’s traditional mixed relationship, while Utilities’ pattern points to a steadier, longer-horizon sensitivity that shows up more strongly over 90 days than in the shorter windows.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