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equities, with the S&amp;P 500 showing the strongest inverse linkage, while oil and broad commodities move moderately in the same direction as the dollar. Gold also remains meaningfully tied to the USD, but its negative relationship has softened recently compared with the tighter 15-day and 90-day patterns. Bitcoin’s linkage has been more unstable, flipping from a mild positive over 15 days to a moderate inverse relationship over 30 days, suggesting less consistent USD-driven behavior than the other assets.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