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Utilities have shown a distinctly negative relationship to rising 10Y yields, while Financials, the S&amp;P 500, and the Nasdaq 100 have moved moderately in the same direction as rates. That rate sensitivity is relatively concentrated in Utilities on the downside and Financials on the upside, with small caps (Russell 2000) showing only muted linkage to yields. The 15D and 90D windows broadly confirm this pattern, with Utilities persistently inverse to rates and broader equities hovering around only mild positive sensitivity over longer horizons.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