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where returns have moved reliably in the opposite direction of the dollar, and this negative linkage has been persistent across the 15D and 90D windows. Equities, oil, broad commodities, and bitcoin have shown only mild and somewhat unstable ties to the USD over the same period, suggesting that most day-to-day moves in these assets have been driven more by asset‑specific factors than by the dollar.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