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major U. S. equity indexes and Financials have all shown moderately strong negative sensitivity to moves in the 10‑year yield, with the S&amp;P 500, Nasdaq 100, Russell 2000, and XLF each tending to fall when yields rise. That rate sensitivity is somewhat concentrated in small caps most recently, as the Russell 2000’s 15‑day correlation is sharply more negative than its 90‑day history.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