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meaningfully linked across all tracked assets, with influence concentrated in the S&amp;P 500, which tends to fall when the dollar strengthens. Gold and Bitcoin also lean negative versus the USD, though gold’s relationship is steadier while Bitcoin’s has weakened in the last 15 days. Oil and broad commodities, by contrast, have shown a moderate tendency to rise with a stronger dollar, and this positive linkage has been fairly consistent across 15D, 30D, and 90D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