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generally moved opposite 10-year yields, with the S&amp;P 500 and Nasdaq 100 showing moderate negative sensitivity and the Russell 2000 somewhat less so. Utilities stand out with a consistently strong negative linkage to yields across 15D, 30D, and 90D windows, signaling concentrated rate sensitivity in that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