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U. S. equities and commodities, with the S&amp;P 500 moving moderately opposite the dollar while oil and broad commodities have been rising alongside it. The stronger negative linkage of SPX on the 15D window and the weaker 90D reading suggest that equity–USD co-movement has tightened more recently.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