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Rates correlations: Over the last 30 trading days, the S&amp;P 500 and Russell 2000 show similarly strong negative sensitivity to yields, with the Nasdaq 100 only slightly less reactive, implying broad equity weakness when rates rise. Financials now also move notably opposite to yields, a contrast to their often more rate-benefiting profile, suggesting other factors are overpowering the usual positive linkage. Utilities show relatively muted 30-day rate sensitivity despite a more pronounced negative relationship over 90 days, pointing to more dispersed rate influence across sectors rather than concentrated in the traditional defensives.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