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all tracked assets show a meaningful linkage to the dollar, with the influence concentrated in the S&amp;P 500 and gold, both moving inversely to DXY. Equities have been the single most USD‑sensitive asset, and gold’s negative correlation has stayed consistently strong across 15D, 30D, and 90D windows. Oil and broad commodities have moved with the dollar rather than against it, and Bitcoin’s relationship to the USD has been weaker and less stable over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