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(S&amp;P 500, Nasdaq 100, Russell 2000) and Financials have shown only mild day‑to‑day linkage to 10‑year yields, implying relatively contained rate sensitivity at the index and sector level. Utilities stand out with a clearly negative correlation to yields, indicating that higher rates have recently lined up with more persistent pressure on that rate‑sensitive sector.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