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broad commodities and oil, which both rise more often when the dollar strengthens, while the S&amp;P 500 tends to move in the opposite direction. The recent pickup in SPX’s negative correlation versus its weaker 90-day reading suggests U. S. equities have become more dollar-sensitive in the short term.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