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most major equity indexes and Financials have shown only modest day‑to‑day linkage to moves in the 10-year yield, suggesting relatively diffuse rate sensitivity across broader risk assets. In contrast, Utilities stand out with a consistently strong negative correlation across 15D, 30D, and 90D windows, indicating their returns have been tightly and persistently pressured when yields rise and supported when yields fall.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