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the S&amp;P 500, broad commodities, and oil, all showing a meaningful link to the dollar, with equities moving opposite and commodities moving with it. The S&amp;P 500 has the clearest inverse relationship, and its more negative 15-day reading suggests that equity weakness has recently lined up more tightly with dollar strength. Broad commodities and oil have reasonably steady positive correlations across 15–30 days, indicating that recent dollar moves have gone hand-in-hand with these commodity prices. Gold and Bitcoin show weaker and somewhat inconsistent co-movements with the USD, with gold’s longer‑term data still pointing to a more persistent inverse relationship than its recent readings suggest.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