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US equities show broad, meaningful inverse sensitivity to 10Y yields, with the S&amp;P 500, Nasdaq 100, and Russell 2000 all moving lower when rates rise, and small caps slightly edging out large caps in rate sensitivity. Financials now trade with a moderately negative link to yields, closer to the broad equity complex than to the classic “higher rates help banks” narrative. Utilities stand out for their contained near-term rate sensitivity, though their 90-day pattern still reflects a more traditional, defensively rate‑sensitive profile.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