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moves have been meaningfully connected to all five assets, with the strongest sensitivity in the S&amp;P 500, which tends to fall when the dollar rises, and in gold, which shows a similarly firm inverse linkage. Oil and the broad commodity basket instead have a moderate positive relationship with the dollar, suggesting they have recently tended to rise alongside USD strength. Bitcoin’s 30-day correlation is also notably negative, but its much weaker 15-day reading points to a less stable and more erratic USD linkage than for equities, gold, or commodities.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