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and financials have shown clearly negative sensitivity to moves in the 10-year yield, with the S&amp;P 500, Nasdaq 100, Russell 2000, and Financials all tending to sell off when yields rise. That sensitivity is most concentrated in small caps, where the Russell 2000’s relationship to rates has recently been especially strong on a 15-day basis.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