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the S&amp;P 500, which has shown a moderately negative linkage, while oil, broad commodities, and Bitcoin have moved more in tandem with the dollar. The S&amp;P 500’s weaker 15D and 90D readings suggest that this equity–USD relationship has intensified recently compared with its longer trend. Commodities and Bitcoin show a more consistently positive or mildly shifting alignment with the USD, whereas gold stands out with a relatively contained and unstable linkage across the three windows.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