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sectors have shown materially negative sensitivity to moves in the 10-year yield, with the S&amp;P 500, Nasdaq 100, Russell 2000, Financials, and Utilities all tending to fall when yields rise. The Russell 2000 and S&amp;P 500 now sit near the top of this equity-rate linkage, while Utilities have quietly shifted from almost no short-term sensitivity to a steadier negative relationship that aligns with their 90-day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