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broad commodities and oil, which are moderately moving in the same direction as the dollar, while U. S. equities and Bitcoin tend to move in the opposite direction. The equity–USD inverse relationship has strengthened recently (15D more negative than 90D), whereas Bitcoin’s link has emerged more in the 30D window than in the last 15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