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and financials have moved moderately in the same direction as 10-year yields, with the Nasdaq 100, S&amp;P 500, and financials showing similar positive rate sensitivity and small caps slightly less tied in. Utilities stand out with a clear and persistent negative relationship to yields, and that rate influence is concentrated there among the equity sectors listed.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