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where a stronger dollar has tended to coincide with weaker GLD prices, and this inverse link has been relatively stable across the 15D and 90D windows. Equities (SPX) and Bitcoin show only mild, inconsistent inverse relationships to the USD, while oil (USO) and broad commodities (COMT) have correlations close to zero over 30 days, indicating limited and shifting day‑to‑day USD influence on those assets.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