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Utilities show the clearest rate sensitivity among the sectors listed, with a firmly negative link to yields that has been consistently strong across 15D and 90D windows. Financials are positively linked to yields in the 30D window, suggesting their moves have leaned in the same direction as rates, with the short-term (15D) correlation running even higher. The major equity indexes (S&amp;P 500, Nasdaq 100, Russell 2000) have only modest 30D correlations, indicating more contained and less reliable day‑to‑day sensitivity to rate moves, despite a recent pickup over the last 15 trading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