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broad commodities, both moving meaningfully opposite the dollar, with GLD showing the strongest inverse linkage. SPX, USO, and Bitcoin futures all show relatively contained USD correlations over this window, and their mixed 15D vs. 90D patterns point to unstable and weaker dollar influence on these markets.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