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equities have shown a modest positive linkage to rising 10Y yields, with the S&amp;P 500, Nasdaq 100, and Russell 2000 all moving somewhat in the same direction as rates, and financials displaying the clearest positive rate sensitivity among them. Utilities stand out with a consistently strong negative correlation to yields across 15D, 30D, and 90D windows, indicating that rate sensitivity is concentrated in this traditionally rate‑defensive sector on the downside. The contrast between generally mild equity correlations and the pronounced negative linkage in utilities underscores how unevenly rate moves are being transmitted across sectors.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