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gold and broad commodities, with GLD showing the strongest inverse relationship to the dollar and COMT also moving mostly opposite, while the S&amp;P 500 appears largely insulated from USD moves. Gold’s negative correlation is consistently meaningful across 15D and 90D windows, underscoring its role as the clearest counter-USD asset in this set. Oil and Bitcoin show weaker, more mixed USD sensitivity, with shorter- and longer-term correlations pointing to only moderate and somewhat unstable inverse linkages.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