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equity index moves have shown only modest linkage to 10Y yields, with the S&amp;P 500, Nasdaq 100, and Financials all displaying mild positive sensitivity, while the Russell 2000 remains relatively insulated. Utilities stand out with a consistently strong negative correlation to rates across 15D, 30D, and 90D windows, indicating that rate moves are exerting a concentrated influence on that sector. Overall, rate sensitivity is far more pronounced in defensives than in the broad equity benchmarks.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