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where a moderate and very stable negative correlation suggests GLD has been reliably moving opposite the dollar across 15D, 30D, and 90D windows. The S&amp;P 500 and Bitcoin show weaker, but still noticeable, inverse links to the USD, while oil and broad commodities exhibit only contained and somewhat mixed co-movement, indicating that most cyclical risk assets are not tightly tethered to dollar moves right now.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