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US equities have broadly moved opposite 10-year yields, with the S&amp;P 500, Nasdaq 100, and Russell 2000 all showing strong negative sensitivity to rate moves. That influence is concentrated in small caps, where the Russell 2000’s correlation is particularly intense over 15 days, underscoring how sharply that segment has been reacting to yield changes. Financials are also negatively linked to yields despite the sector’s typical rate-benefit narrative, while Utilities show a steadier, mildly negative relationship over longer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