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 S. equities have generally moved opposite 10-year yields, with large-cap, tech, and small-cap indexes all showing moderate negative rate sensitivity that has intensified over the past 15 days. Utilities stand out with consistently strong negative correlations across 15D, 30D, and 90D windows, indicating more concentrated and persistent pressure when yields rise.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