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broad U. S. equities and sectors have shown fairly strong negative sensitivity to moves in the 10-year yield, with the S&amp;P 500, Nasdaq 100, Russell 2000, and Financials all tending to sell off when rates rise. That influence is most concentrated in small caps, where the Russell 2000’s 15-day reading is sharply negative, indicating especially acute recent rate sensitivity.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