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moderately negative for U. S. equities and Bitcoin, and moderately positive for oil and broad commodities, indicating that most major risk and real-asset exposures have been moving meaningfully with the dollar in one direction or the other. This influence is concentrated in the S&amp;P 500, which shows the tightest (inverse) linkage to DXY among the group, though that relationship has been weaker in the very near term and over the full 90-day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