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Utilities stand out with a strong negative linkage to 10-year yields, signaling that higher rates have been especially painful for that sector, while Financials show only a weak connection, implying relatively contained rate sensitivity. Across the major equity indices, the S&amp;P 500 shows the most negative correlation to yields, with the Nasdaq and Russell 2000 somewhat less exposed but still meaningfully pressured by rate moves. The sharper 15-day correlations for equities versus the 90-day readings suggest that rate sensitivity has intensified more recently compared with the broader three‑month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