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broad commodities and oil, which both move moderately in the same direction as the dollar, while U.S. equities tend to move in the opposite direction. The S&amp;P 500 shows a clear negative linkage that has strengthened recently, whereas gold and bitcoin exhibit relatively contained and weaker USD relationships, with gold’s longer-term pattern still more consistently inverse to the dollar.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