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Financials have shown only mild day‑to‑day linkage to moves in the 10-year yield, suggesting their recent performance has not been tightly driven by rate fluctuations. In contrast, Utilities stand out with a consistently negative correlation, implying they continue to behave like a classic rate‑sensitive, bond‑proxy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